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1E387" w14:textId="77777777" w:rsidR="009547A8" w:rsidRDefault="009547A8" w:rsidP="009547A8"/>
    <w:p w14:paraId="0C0288D0" w14:textId="45C4509F" w:rsidR="009547A8" w:rsidRDefault="009547A8" w:rsidP="009547A8"/>
    <w:p w14:paraId="58475413" w14:textId="1755B06B" w:rsidR="009547A8" w:rsidRPr="00436C5F" w:rsidRDefault="009547A8" w:rsidP="009547A8">
      <w:pPr>
        <w:jc w:val="center"/>
        <w:rPr>
          <w:b/>
          <w:bCs/>
          <w:sz w:val="24"/>
        </w:rPr>
      </w:pPr>
      <w:r w:rsidRPr="00436C5F">
        <w:rPr>
          <w:b/>
          <w:bCs/>
          <w:sz w:val="24"/>
        </w:rPr>
        <w:t>Parish of St Paul’s Wilford Hill West Bridgford</w:t>
      </w:r>
      <w:r w:rsidR="00205EBD">
        <w:rPr>
          <w:noProof/>
        </w:rPr>
        <w:drawing>
          <wp:anchor distT="0" distB="0" distL="114300" distR="114300" simplePos="0" relativeHeight="251658240" behindDoc="0" locked="0" layoutInCell="1" allowOverlap="1" wp14:anchorId="4D5DA561" wp14:editId="67AE48FD">
            <wp:simplePos x="0" y="0"/>
            <wp:positionH relativeFrom="column">
              <wp:posOffset>0</wp:posOffset>
            </wp:positionH>
            <wp:positionV relativeFrom="paragraph">
              <wp:posOffset>-418465</wp:posOffset>
            </wp:positionV>
            <wp:extent cx="2143125" cy="1090930"/>
            <wp:effectExtent l="0" t="0" r="9525" b="0"/>
            <wp:wrapTopAndBottom/>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8124" cy="1098565"/>
                    </a:xfrm>
                    <a:prstGeom prst="rect">
                      <a:avLst/>
                    </a:prstGeom>
                    <a:noFill/>
                    <a:ln>
                      <a:noFill/>
                    </a:ln>
                  </pic:spPr>
                </pic:pic>
              </a:graphicData>
            </a:graphic>
            <wp14:sizeRelH relativeFrom="margin">
              <wp14:pctWidth>0</wp14:pctWidth>
            </wp14:sizeRelH>
          </wp:anchor>
        </w:drawing>
      </w:r>
    </w:p>
    <w:p w14:paraId="437145CD" w14:textId="77777777" w:rsidR="009547A8" w:rsidRPr="00436C5F" w:rsidRDefault="009547A8" w:rsidP="009547A8">
      <w:pPr>
        <w:jc w:val="center"/>
        <w:rPr>
          <w:b/>
          <w:bCs/>
          <w:sz w:val="24"/>
        </w:rPr>
      </w:pPr>
    </w:p>
    <w:p w14:paraId="6B8FAEB3" w14:textId="77777777" w:rsidR="009547A8" w:rsidRDefault="009547A8" w:rsidP="009547A8">
      <w:pPr>
        <w:jc w:val="center"/>
        <w:rPr>
          <w:b/>
          <w:bCs/>
          <w:sz w:val="24"/>
        </w:rPr>
      </w:pPr>
      <w:r w:rsidRPr="00436C5F">
        <w:rPr>
          <w:b/>
          <w:bCs/>
          <w:sz w:val="24"/>
        </w:rPr>
        <w:t>Risk Assessment</w:t>
      </w:r>
    </w:p>
    <w:p w14:paraId="022DF215" w14:textId="77777777" w:rsidR="009547A8" w:rsidRDefault="009547A8" w:rsidP="009547A8">
      <w:pPr>
        <w:jc w:val="center"/>
        <w:rPr>
          <w:b/>
          <w:bCs/>
          <w:sz w:val="24"/>
        </w:rPr>
      </w:pPr>
    </w:p>
    <w:p w14:paraId="37ACB638" w14:textId="2CF29AFC" w:rsidR="009547A8" w:rsidRDefault="009547A8" w:rsidP="009547A8">
      <w:pPr>
        <w:rPr>
          <w:b/>
          <w:bCs/>
          <w:sz w:val="24"/>
        </w:rPr>
      </w:pPr>
      <w:r>
        <w:rPr>
          <w:b/>
          <w:bCs/>
          <w:sz w:val="24"/>
        </w:rPr>
        <w:t xml:space="preserve">Activity: COVID risk assessment for </w:t>
      </w:r>
      <w:r w:rsidR="00F31B6C">
        <w:rPr>
          <w:b/>
          <w:bCs/>
          <w:sz w:val="24"/>
        </w:rPr>
        <w:t xml:space="preserve">Pastoral </w:t>
      </w:r>
      <w:proofErr w:type="spellStart"/>
      <w:r w:rsidR="00F31B6C">
        <w:rPr>
          <w:b/>
          <w:bCs/>
          <w:sz w:val="24"/>
        </w:rPr>
        <w:t xml:space="preserve">Visiting. </w:t>
      </w:r>
      <w:proofErr w:type="spellEnd"/>
      <w:r w:rsidR="00F31B6C">
        <w:rPr>
          <w:b/>
          <w:bCs/>
          <w:sz w:val="24"/>
        </w:rPr>
        <w:tab/>
      </w:r>
      <w:r w:rsidR="00F31B6C">
        <w:rPr>
          <w:b/>
          <w:bCs/>
          <w:sz w:val="24"/>
        </w:rPr>
        <w:tab/>
      </w:r>
      <w:r w:rsidR="00F31B6C">
        <w:rPr>
          <w:b/>
          <w:bCs/>
          <w:sz w:val="24"/>
        </w:rPr>
        <w:tab/>
      </w:r>
      <w:r>
        <w:rPr>
          <w:b/>
          <w:bCs/>
          <w:sz w:val="24"/>
        </w:rPr>
        <w:t xml:space="preserve">Date of risk assessment: </w:t>
      </w:r>
      <w:r w:rsidR="00875CB4">
        <w:rPr>
          <w:b/>
          <w:bCs/>
          <w:color w:val="FF0000"/>
          <w:sz w:val="24"/>
        </w:rPr>
        <w:t>15</w:t>
      </w:r>
      <w:r w:rsidR="00875CB4" w:rsidRPr="00875CB4">
        <w:rPr>
          <w:b/>
          <w:bCs/>
          <w:color w:val="FF0000"/>
          <w:sz w:val="24"/>
          <w:vertAlign w:val="superscript"/>
        </w:rPr>
        <w:t>th</w:t>
      </w:r>
      <w:r w:rsidR="00875CB4">
        <w:rPr>
          <w:b/>
          <w:bCs/>
          <w:color w:val="FF0000"/>
          <w:sz w:val="24"/>
        </w:rPr>
        <w:t xml:space="preserve"> February 2021</w:t>
      </w:r>
    </w:p>
    <w:p w14:paraId="77D74AB9" w14:textId="769B5786" w:rsidR="009547A8" w:rsidRDefault="009547A8" w:rsidP="009547A8">
      <w:pPr>
        <w:rPr>
          <w:b/>
          <w:bCs/>
          <w:sz w:val="24"/>
        </w:rPr>
      </w:pPr>
      <w:r>
        <w:rPr>
          <w:b/>
          <w:bCs/>
          <w:sz w:val="24"/>
        </w:rPr>
        <w:t xml:space="preserve">Location: </w:t>
      </w:r>
      <w:r w:rsidR="00875CB4">
        <w:rPr>
          <w:b/>
          <w:bCs/>
          <w:sz w:val="24"/>
        </w:rPr>
        <w:t>Various</w:t>
      </w:r>
    </w:p>
    <w:p w14:paraId="195A9DE2" w14:textId="1ECCCB63" w:rsidR="009547A8" w:rsidRDefault="009547A8" w:rsidP="009547A8">
      <w:pPr>
        <w:rPr>
          <w:b/>
          <w:bCs/>
          <w:sz w:val="24"/>
        </w:rPr>
      </w:pPr>
      <w:r>
        <w:rPr>
          <w:b/>
          <w:bCs/>
          <w:sz w:val="24"/>
        </w:rPr>
        <w:t xml:space="preserve">Name of person with Responsibility: </w:t>
      </w:r>
      <w:r w:rsidR="00875CB4">
        <w:rPr>
          <w:b/>
          <w:bCs/>
          <w:sz w:val="24"/>
        </w:rPr>
        <w:t>Tim Fox</w:t>
      </w:r>
      <w:r>
        <w:rPr>
          <w:b/>
          <w:bCs/>
          <w:sz w:val="24"/>
        </w:rPr>
        <w:t xml:space="preserve"> (</w:t>
      </w:r>
      <w:proofErr w:type="gramStart"/>
      <w:r w:rsidR="00875CB4">
        <w:rPr>
          <w:b/>
          <w:bCs/>
          <w:sz w:val="24"/>
        </w:rPr>
        <w:t>Vicar</w:t>
      </w:r>
      <w:r>
        <w:rPr>
          <w:b/>
          <w:bCs/>
          <w:sz w:val="24"/>
        </w:rPr>
        <w:t xml:space="preserve">)   </w:t>
      </w:r>
      <w:proofErr w:type="gramEnd"/>
      <w:r>
        <w:rPr>
          <w:b/>
          <w:bCs/>
          <w:sz w:val="24"/>
        </w:rPr>
        <w:t xml:space="preserve">                                      Date to be reviewed: TBA</w:t>
      </w:r>
    </w:p>
    <w:p w14:paraId="4467B88C" w14:textId="77777777" w:rsidR="009547A8" w:rsidRDefault="009547A8" w:rsidP="009547A8">
      <w:pPr>
        <w:rPr>
          <w:b/>
          <w:bCs/>
          <w:sz w:val="24"/>
        </w:rPr>
      </w:pPr>
    </w:p>
    <w:p w14:paraId="5A1FBDB5" w14:textId="1A0BCBA2" w:rsidR="009547A8" w:rsidRDefault="009547A8" w:rsidP="009547A8">
      <w:pPr>
        <w:rPr>
          <w:b/>
          <w:bCs/>
          <w:sz w:val="24"/>
        </w:rPr>
      </w:pPr>
      <w:r>
        <w:rPr>
          <w:b/>
          <w:bCs/>
          <w:sz w:val="24"/>
        </w:rPr>
        <w:t xml:space="preserve">This Risk Assessment assesses the risks arising from </w:t>
      </w:r>
      <w:r w:rsidR="00875CB4">
        <w:rPr>
          <w:b/>
          <w:bCs/>
          <w:sz w:val="24"/>
        </w:rPr>
        <w:t>Pastoral Visits in private residences</w:t>
      </w:r>
      <w:r>
        <w:rPr>
          <w:b/>
          <w:bCs/>
          <w:sz w:val="24"/>
        </w:rPr>
        <w:t xml:space="preserve">. This document recognises the natural wish to offer </w:t>
      </w:r>
      <w:r w:rsidR="00875CB4">
        <w:rPr>
          <w:b/>
          <w:bCs/>
          <w:sz w:val="24"/>
        </w:rPr>
        <w:t xml:space="preserve">support and </w:t>
      </w:r>
      <w:r>
        <w:rPr>
          <w:b/>
          <w:bCs/>
          <w:sz w:val="24"/>
        </w:rPr>
        <w:t xml:space="preserve">comfort </w:t>
      </w:r>
      <w:r w:rsidR="00875CB4">
        <w:rPr>
          <w:b/>
          <w:bCs/>
          <w:sz w:val="24"/>
        </w:rPr>
        <w:t xml:space="preserve">to those in need </w:t>
      </w:r>
      <w:r>
        <w:rPr>
          <w:b/>
          <w:bCs/>
          <w:sz w:val="24"/>
        </w:rPr>
        <w:t xml:space="preserve">but </w:t>
      </w:r>
      <w:r w:rsidR="00875CB4">
        <w:rPr>
          <w:b/>
          <w:bCs/>
          <w:sz w:val="24"/>
        </w:rPr>
        <w:t xml:space="preserve">stresses the importance of limiting </w:t>
      </w:r>
      <w:r>
        <w:rPr>
          <w:b/>
          <w:bCs/>
          <w:sz w:val="24"/>
        </w:rPr>
        <w:t xml:space="preserve">personal contact </w:t>
      </w:r>
      <w:r w:rsidR="00875CB4">
        <w:rPr>
          <w:b/>
          <w:bCs/>
          <w:sz w:val="24"/>
        </w:rPr>
        <w:t xml:space="preserve">between the minister offering pastoral support and the individual being visited. </w:t>
      </w:r>
    </w:p>
    <w:p w14:paraId="0EBDA358" w14:textId="77777777" w:rsidR="009547A8" w:rsidRDefault="009547A8" w:rsidP="009547A8">
      <w:pPr>
        <w:rPr>
          <w:b/>
          <w:bCs/>
          <w:sz w:val="24"/>
        </w:rPr>
      </w:pPr>
    </w:p>
    <w:p w14:paraId="1C30319A" w14:textId="3AE822E7" w:rsidR="009547A8" w:rsidRDefault="009547A8" w:rsidP="009547A8">
      <w:pPr>
        <w:rPr>
          <w:b/>
          <w:bCs/>
          <w:sz w:val="24"/>
        </w:rPr>
      </w:pPr>
      <w:r>
        <w:rPr>
          <w:b/>
          <w:bCs/>
          <w:sz w:val="24"/>
        </w:rPr>
        <w:t xml:space="preserve">Planning for the </w:t>
      </w:r>
      <w:r w:rsidR="00875CB4">
        <w:rPr>
          <w:b/>
          <w:bCs/>
          <w:sz w:val="24"/>
        </w:rPr>
        <w:t>Visit</w:t>
      </w:r>
      <w:r>
        <w:rPr>
          <w:b/>
          <w:bCs/>
          <w:sz w:val="24"/>
        </w:rPr>
        <w:t xml:space="preserve">: </w:t>
      </w:r>
    </w:p>
    <w:p w14:paraId="7FEB911F" w14:textId="77777777" w:rsidR="009547A8" w:rsidRDefault="009547A8" w:rsidP="009547A8">
      <w:pPr>
        <w:rPr>
          <w:b/>
          <w:bCs/>
          <w:sz w:val="24"/>
        </w:rPr>
      </w:pPr>
    </w:p>
    <w:p w14:paraId="0B2B4A9A" w14:textId="79719B61" w:rsidR="009547A8" w:rsidRDefault="00875CB4" w:rsidP="009547A8">
      <w:pPr>
        <w:pStyle w:val="ListParagraph"/>
        <w:numPr>
          <w:ilvl w:val="0"/>
          <w:numId w:val="3"/>
        </w:numPr>
        <w:rPr>
          <w:b/>
          <w:bCs/>
          <w:sz w:val="24"/>
        </w:rPr>
      </w:pPr>
      <w:r>
        <w:rPr>
          <w:b/>
          <w:bCs/>
          <w:sz w:val="24"/>
        </w:rPr>
        <w:t xml:space="preserve">Communion Set is to be prepared, with sufficient wafer breads in pyx, but no extra. No wine is needed as per Church of England Guidance to only offer communion in one kind. </w:t>
      </w:r>
    </w:p>
    <w:p w14:paraId="1662C317" w14:textId="38ABAB86" w:rsidR="004150D6" w:rsidRDefault="00FD3A95" w:rsidP="009547A8">
      <w:pPr>
        <w:pStyle w:val="ListParagraph"/>
        <w:numPr>
          <w:ilvl w:val="0"/>
          <w:numId w:val="3"/>
        </w:numPr>
        <w:rPr>
          <w:b/>
          <w:bCs/>
          <w:sz w:val="24"/>
        </w:rPr>
      </w:pPr>
      <w:r>
        <w:rPr>
          <w:b/>
          <w:bCs/>
          <w:sz w:val="24"/>
        </w:rPr>
        <w:t xml:space="preserve">Individual requesting visit (for themselves or on behalf of someone else) to be informed of contents of this Risk Assessment, and particularly of measures needed to mitigate risk. The visit is not to be carried out if the individual requesting the visit </w:t>
      </w:r>
      <w:r w:rsidR="00B522D4">
        <w:rPr>
          <w:b/>
          <w:bCs/>
          <w:sz w:val="24"/>
        </w:rPr>
        <w:t xml:space="preserve">does not agree to cooperate with mitigations. </w:t>
      </w:r>
    </w:p>
    <w:p w14:paraId="428B686A" w14:textId="77777777" w:rsidR="00FD3A95" w:rsidRDefault="00FD3A95" w:rsidP="00FD3A95">
      <w:pPr>
        <w:rPr>
          <w:b/>
          <w:bCs/>
          <w:sz w:val="24"/>
        </w:rPr>
      </w:pPr>
    </w:p>
    <w:p w14:paraId="7F109F29" w14:textId="6D71D1D2" w:rsidR="004150D6" w:rsidRPr="00FD3A95" w:rsidRDefault="004150D6" w:rsidP="00FD3A95">
      <w:pPr>
        <w:rPr>
          <w:b/>
          <w:bCs/>
          <w:sz w:val="24"/>
        </w:rPr>
      </w:pPr>
      <w:r w:rsidRPr="00FD3A95">
        <w:rPr>
          <w:b/>
          <w:bCs/>
          <w:sz w:val="24"/>
        </w:rPr>
        <w:t>This Risk Assessment is made with reference to the following Government and Church Guidance:</w:t>
      </w:r>
    </w:p>
    <w:p w14:paraId="74C7BE6A" w14:textId="7FFE77AB" w:rsidR="009547A8" w:rsidRPr="00D81D65" w:rsidRDefault="009547A8" w:rsidP="00D81D65">
      <w:pPr>
        <w:pStyle w:val="ListParagraph"/>
        <w:rPr>
          <w:b/>
          <w:bCs/>
          <w:sz w:val="24"/>
        </w:rPr>
      </w:pPr>
    </w:p>
    <w:p w14:paraId="1A2C3D8E" w14:textId="77777777" w:rsidR="009547A8" w:rsidRDefault="009547A8" w:rsidP="009547A8">
      <w:pPr>
        <w:rPr>
          <w:b/>
          <w:bCs/>
          <w:sz w:val="24"/>
        </w:rPr>
      </w:pPr>
    </w:p>
    <w:p w14:paraId="48039731" w14:textId="17C5ECB6" w:rsidR="00875CB4" w:rsidRDefault="009547A8" w:rsidP="00875CB4">
      <w:pPr>
        <w:rPr>
          <w:b/>
          <w:bCs/>
          <w:sz w:val="24"/>
        </w:rPr>
      </w:pPr>
      <w:r w:rsidRPr="00875CB4">
        <w:rPr>
          <w:b/>
          <w:bCs/>
          <w:sz w:val="24"/>
        </w:rPr>
        <w:t>Government Guidance</w:t>
      </w:r>
      <w:r w:rsidR="00875CB4">
        <w:rPr>
          <w:b/>
          <w:bCs/>
          <w:sz w:val="24"/>
        </w:rPr>
        <w:t xml:space="preserve">: </w:t>
      </w:r>
      <w:hyperlink r:id="rId6" w:history="1">
        <w:r w:rsidR="00875CB4" w:rsidRPr="003C2DF8">
          <w:rPr>
            <w:rStyle w:val="Hyperlink"/>
            <w:b/>
            <w:bCs/>
            <w:sz w:val="24"/>
          </w:rPr>
          <w:t>https://www.gov.uk/guidance/working-safely-during-coronavirus-covid-19/homes</w:t>
        </w:r>
      </w:hyperlink>
    </w:p>
    <w:p w14:paraId="49604A6E" w14:textId="77777777" w:rsidR="00875CB4" w:rsidRDefault="00875CB4" w:rsidP="00875CB4">
      <w:pPr>
        <w:rPr>
          <w:b/>
          <w:bCs/>
          <w:sz w:val="24"/>
        </w:rPr>
      </w:pPr>
    </w:p>
    <w:p w14:paraId="4BFF29F3" w14:textId="1F29AE06" w:rsidR="009547A8" w:rsidRDefault="009547A8" w:rsidP="009547A8">
      <w:pPr>
        <w:rPr>
          <w:b/>
          <w:bCs/>
          <w:sz w:val="24"/>
        </w:rPr>
      </w:pPr>
      <w:r w:rsidRPr="00875CB4">
        <w:rPr>
          <w:b/>
          <w:bCs/>
          <w:sz w:val="24"/>
        </w:rPr>
        <w:t>Church of England Guidance</w:t>
      </w:r>
      <w:r w:rsidR="00875CB4">
        <w:rPr>
          <w:b/>
          <w:bCs/>
          <w:sz w:val="24"/>
        </w:rPr>
        <w:t xml:space="preserve"> </w:t>
      </w:r>
      <w:hyperlink r:id="rId7" w:history="1">
        <w:r w:rsidR="00875CB4" w:rsidRPr="003C2DF8">
          <w:rPr>
            <w:rStyle w:val="Hyperlink"/>
            <w:b/>
            <w:bCs/>
            <w:sz w:val="24"/>
          </w:rPr>
          <w:t>https://www.churchofengland.org/sites/default/files/2021-01/Advice%20on%20pastoral%20support%20in%20the%20community%20including%20care%20homes%20v2.1.pdf</w:t>
        </w:r>
      </w:hyperlink>
    </w:p>
    <w:p w14:paraId="284FE1A8" w14:textId="77777777" w:rsidR="00875CB4" w:rsidRDefault="00875CB4" w:rsidP="009547A8"/>
    <w:p w14:paraId="16F93B40" w14:textId="77777777" w:rsidR="009547A8" w:rsidRDefault="009547A8" w:rsidP="009547A8"/>
    <w:p w14:paraId="7262D645" w14:textId="77777777" w:rsidR="009547A8" w:rsidRDefault="009547A8" w:rsidP="009547A8"/>
    <w:p w14:paraId="54C314F8" w14:textId="77777777" w:rsidR="009547A8" w:rsidRDefault="009547A8" w:rsidP="009547A8"/>
    <w:p w14:paraId="5B084A54" w14:textId="77777777" w:rsidR="009547A8" w:rsidRDefault="009547A8" w:rsidP="009547A8"/>
    <w:tbl>
      <w:tblPr>
        <w:tblStyle w:val="TableGrid"/>
        <w:tblpPr w:leftFromText="180" w:rightFromText="180" w:vertAnchor="page" w:horzAnchor="margin" w:tblpY="4876"/>
        <w:tblW w:w="5000" w:type="pct"/>
        <w:tblLook w:val="01E0" w:firstRow="1" w:lastRow="1" w:firstColumn="1" w:lastColumn="1" w:noHBand="0" w:noVBand="0"/>
      </w:tblPr>
      <w:tblGrid>
        <w:gridCol w:w="1909"/>
        <w:gridCol w:w="3011"/>
        <w:gridCol w:w="2528"/>
        <w:gridCol w:w="3250"/>
        <w:gridCol w:w="1409"/>
        <w:gridCol w:w="1194"/>
        <w:gridCol w:w="647"/>
      </w:tblGrid>
      <w:tr w:rsidR="009547A8" w:rsidRPr="00A01AA4" w14:paraId="1B381D82" w14:textId="77777777" w:rsidTr="004150D6">
        <w:trPr>
          <w:tblHeader/>
        </w:trPr>
        <w:tc>
          <w:tcPr>
            <w:tcW w:w="684" w:type="pct"/>
            <w:tcBorders>
              <w:bottom w:val="single" w:sz="4" w:space="0" w:color="auto"/>
            </w:tcBorders>
          </w:tcPr>
          <w:p w14:paraId="6818695B" w14:textId="77777777" w:rsidR="009547A8" w:rsidRPr="00862C2D" w:rsidRDefault="009547A8" w:rsidP="00074631">
            <w:pPr>
              <w:rPr>
                <w:rFonts w:asciiTheme="minorHAnsi" w:hAnsiTheme="minorHAnsi"/>
                <w:b/>
                <w:sz w:val="24"/>
              </w:rPr>
            </w:pPr>
            <w:r w:rsidRPr="00862C2D">
              <w:rPr>
                <w:rFonts w:asciiTheme="minorHAnsi" w:hAnsiTheme="minorHAnsi"/>
                <w:b/>
                <w:sz w:val="24"/>
              </w:rPr>
              <w:t>What are the hazards?</w:t>
            </w:r>
          </w:p>
        </w:tc>
        <w:tc>
          <w:tcPr>
            <w:tcW w:w="1079" w:type="pct"/>
          </w:tcPr>
          <w:p w14:paraId="0B8EB708" w14:textId="77777777" w:rsidR="009547A8" w:rsidRPr="00862C2D" w:rsidRDefault="009547A8" w:rsidP="00074631">
            <w:pPr>
              <w:rPr>
                <w:rFonts w:asciiTheme="minorHAnsi" w:hAnsiTheme="minorHAnsi"/>
                <w:b/>
                <w:sz w:val="24"/>
              </w:rPr>
            </w:pPr>
            <w:r w:rsidRPr="00862C2D">
              <w:rPr>
                <w:rFonts w:asciiTheme="minorHAnsi" w:hAnsiTheme="minorHAnsi"/>
                <w:b/>
                <w:sz w:val="24"/>
              </w:rPr>
              <w:t>Who might be harmed and how?</w:t>
            </w:r>
          </w:p>
        </w:tc>
        <w:tc>
          <w:tcPr>
            <w:tcW w:w="906" w:type="pct"/>
          </w:tcPr>
          <w:p w14:paraId="7D1061C1" w14:textId="77777777" w:rsidR="009547A8" w:rsidRPr="00862C2D" w:rsidRDefault="009547A8" w:rsidP="00074631">
            <w:pPr>
              <w:rPr>
                <w:rFonts w:asciiTheme="minorHAnsi" w:hAnsiTheme="minorHAnsi"/>
                <w:b/>
                <w:sz w:val="24"/>
              </w:rPr>
            </w:pPr>
            <w:r>
              <w:rPr>
                <w:rFonts w:asciiTheme="minorHAnsi" w:hAnsiTheme="minorHAnsi"/>
                <w:b/>
                <w:sz w:val="24"/>
              </w:rPr>
              <w:t>Controls required</w:t>
            </w:r>
          </w:p>
        </w:tc>
        <w:tc>
          <w:tcPr>
            <w:tcW w:w="1165" w:type="pct"/>
          </w:tcPr>
          <w:p w14:paraId="78831DA0" w14:textId="77777777" w:rsidR="009547A8" w:rsidRPr="00862C2D" w:rsidRDefault="009547A8" w:rsidP="00074631">
            <w:pPr>
              <w:rPr>
                <w:rFonts w:asciiTheme="minorHAnsi" w:hAnsiTheme="minorHAnsi"/>
                <w:b/>
                <w:sz w:val="24"/>
              </w:rPr>
            </w:pPr>
            <w:r w:rsidRPr="00862C2D">
              <w:rPr>
                <w:rFonts w:asciiTheme="minorHAnsi" w:hAnsiTheme="minorHAnsi"/>
                <w:b/>
                <w:sz w:val="24"/>
              </w:rPr>
              <w:t>Do you need to do anything else to manage this risk?</w:t>
            </w:r>
          </w:p>
        </w:tc>
        <w:tc>
          <w:tcPr>
            <w:tcW w:w="505" w:type="pct"/>
          </w:tcPr>
          <w:p w14:paraId="59146E59" w14:textId="77777777" w:rsidR="009547A8" w:rsidRPr="00862C2D" w:rsidRDefault="009547A8" w:rsidP="00074631">
            <w:pPr>
              <w:rPr>
                <w:rFonts w:asciiTheme="minorHAnsi" w:hAnsiTheme="minorHAnsi"/>
                <w:b/>
                <w:sz w:val="24"/>
              </w:rPr>
            </w:pPr>
            <w:r w:rsidRPr="00862C2D">
              <w:rPr>
                <w:rFonts w:asciiTheme="minorHAnsi" w:hAnsiTheme="minorHAnsi"/>
                <w:b/>
                <w:sz w:val="24"/>
              </w:rPr>
              <w:t>Action by whom?</w:t>
            </w:r>
          </w:p>
        </w:tc>
        <w:tc>
          <w:tcPr>
            <w:tcW w:w="428" w:type="pct"/>
          </w:tcPr>
          <w:p w14:paraId="7FDA2378" w14:textId="77777777" w:rsidR="009547A8" w:rsidRPr="00862C2D" w:rsidRDefault="009547A8" w:rsidP="00074631">
            <w:pPr>
              <w:rPr>
                <w:rFonts w:asciiTheme="minorHAnsi" w:hAnsiTheme="minorHAnsi"/>
                <w:b/>
                <w:sz w:val="24"/>
              </w:rPr>
            </w:pPr>
            <w:r w:rsidRPr="00862C2D">
              <w:rPr>
                <w:rFonts w:asciiTheme="minorHAnsi" w:hAnsiTheme="minorHAnsi"/>
                <w:b/>
                <w:sz w:val="24"/>
              </w:rPr>
              <w:t>Action by when?</w:t>
            </w:r>
          </w:p>
        </w:tc>
        <w:tc>
          <w:tcPr>
            <w:tcW w:w="232" w:type="pct"/>
          </w:tcPr>
          <w:p w14:paraId="6E8FBC4F" w14:textId="77777777" w:rsidR="009547A8" w:rsidRPr="00862C2D" w:rsidRDefault="009547A8" w:rsidP="00074631">
            <w:pPr>
              <w:rPr>
                <w:rFonts w:asciiTheme="minorHAnsi" w:hAnsiTheme="minorHAnsi"/>
                <w:b/>
                <w:sz w:val="24"/>
              </w:rPr>
            </w:pPr>
            <w:r w:rsidRPr="00862C2D">
              <w:rPr>
                <w:rFonts w:asciiTheme="minorHAnsi" w:hAnsiTheme="minorHAnsi"/>
                <w:b/>
                <w:sz w:val="24"/>
              </w:rPr>
              <w:t>Done</w:t>
            </w:r>
          </w:p>
        </w:tc>
      </w:tr>
      <w:tr w:rsidR="009547A8" w:rsidRPr="000D0129" w14:paraId="475DA4B1" w14:textId="77777777" w:rsidTr="004150D6">
        <w:tc>
          <w:tcPr>
            <w:tcW w:w="684" w:type="pct"/>
            <w:tcBorders>
              <w:bottom w:val="nil"/>
            </w:tcBorders>
          </w:tcPr>
          <w:p w14:paraId="52D0D2FA" w14:textId="77777777" w:rsidR="009547A8" w:rsidRPr="006912F1" w:rsidRDefault="009547A8" w:rsidP="00074631">
            <w:pPr>
              <w:rPr>
                <w:iCs/>
                <w:sz w:val="24"/>
              </w:rPr>
            </w:pPr>
            <w:r w:rsidRPr="006912F1">
              <w:rPr>
                <w:iCs/>
                <w:sz w:val="24"/>
              </w:rPr>
              <w:t>Spread of COVID 19</w:t>
            </w:r>
          </w:p>
          <w:p w14:paraId="303A96FD" w14:textId="77777777" w:rsidR="009547A8" w:rsidRPr="00036CDA" w:rsidRDefault="009547A8" w:rsidP="00074631">
            <w:pPr>
              <w:rPr>
                <w:b/>
                <w:bCs/>
                <w:i/>
              </w:rPr>
            </w:pPr>
          </w:p>
        </w:tc>
        <w:tc>
          <w:tcPr>
            <w:tcW w:w="1079" w:type="pct"/>
          </w:tcPr>
          <w:p w14:paraId="52BF3D67" w14:textId="7843F115" w:rsidR="009547A8" w:rsidRPr="006912F1" w:rsidRDefault="009547A8" w:rsidP="00074631">
            <w:pPr>
              <w:rPr>
                <w:iCs/>
                <w:sz w:val="24"/>
              </w:rPr>
            </w:pPr>
            <w:r w:rsidRPr="006912F1">
              <w:rPr>
                <w:iCs/>
                <w:sz w:val="24"/>
              </w:rPr>
              <w:t xml:space="preserve">All </w:t>
            </w:r>
            <w:r w:rsidR="004150D6">
              <w:rPr>
                <w:iCs/>
                <w:sz w:val="24"/>
              </w:rPr>
              <w:t>present in house during Pastoral Visit, and Minister. T</w:t>
            </w:r>
            <w:r w:rsidRPr="006912F1">
              <w:rPr>
                <w:iCs/>
                <w:sz w:val="24"/>
              </w:rPr>
              <w:t xml:space="preserve">hose whom they subsequently </w:t>
            </w:r>
            <w:r w:rsidR="004150D6">
              <w:rPr>
                <w:iCs/>
                <w:sz w:val="24"/>
              </w:rPr>
              <w:t xml:space="preserve">contact. </w:t>
            </w:r>
          </w:p>
        </w:tc>
        <w:tc>
          <w:tcPr>
            <w:tcW w:w="906" w:type="pct"/>
          </w:tcPr>
          <w:p w14:paraId="0DA37BED" w14:textId="77777777" w:rsidR="009547A8" w:rsidRPr="006912F1" w:rsidRDefault="009547A8" w:rsidP="00074631">
            <w:pPr>
              <w:rPr>
                <w:b/>
                <w:bCs/>
                <w:iCs/>
                <w:sz w:val="24"/>
              </w:rPr>
            </w:pPr>
            <w:r w:rsidRPr="006912F1">
              <w:rPr>
                <w:b/>
                <w:bCs/>
                <w:iCs/>
                <w:sz w:val="24"/>
              </w:rPr>
              <w:t>Numbers attending</w:t>
            </w:r>
          </w:p>
          <w:p w14:paraId="53D5EEF7" w14:textId="5D250596" w:rsidR="009547A8" w:rsidRPr="006912F1" w:rsidRDefault="004150D6" w:rsidP="00074631">
            <w:pPr>
              <w:rPr>
                <w:iCs/>
                <w:sz w:val="24"/>
              </w:rPr>
            </w:pPr>
            <w:r>
              <w:rPr>
                <w:iCs/>
                <w:sz w:val="24"/>
              </w:rPr>
              <w:t xml:space="preserve">Whilst it is recognised that for safeguarding reasons, the minimum number of people present during the visit will ideally be 3, further people present in the residence will be asked to remain in a different room </w:t>
            </w:r>
            <w:r w:rsidR="00FD3A95">
              <w:rPr>
                <w:iCs/>
                <w:sz w:val="24"/>
              </w:rPr>
              <w:t>(</w:t>
            </w:r>
            <w:r>
              <w:rPr>
                <w:iCs/>
                <w:sz w:val="24"/>
              </w:rPr>
              <w:t>if possible</w:t>
            </w:r>
            <w:r w:rsidR="00FD3A95">
              <w:rPr>
                <w:iCs/>
                <w:sz w:val="24"/>
              </w:rPr>
              <w:t>)</w:t>
            </w:r>
            <w:r>
              <w:rPr>
                <w:iCs/>
                <w:sz w:val="24"/>
              </w:rPr>
              <w:t xml:space="preserve"> during the visit. </w:t>
            </w:r>
          </w:p>
        </w:tc>
        <w:tc>
          <w:tcPr>
            <w:tcW w:w="1165" w:type="pct"/>
          </w:tcPr>
          <w:p w14:paraId="513D5897" w14:textId="609D8F4E" w:rsidR="009547A8" w:rsidRPr="006912F1" w:rsidRDefault="004150D6" w:rsidP="00074631">
            <w:pPr>
              <w:rPr>
                <w:iCs/>
                <w:sz w:val="24"/>
              </w:rPr>
            </w:pPr>
            <w:r>
              <w:rPr>
                <w:iCs/>
                <w:sz w:val="24"/>
              </w:rPr>
              <w:t xml:space="preserve">The Cooperation of the </w:t>
            </w:r>
            <w:r w:rsidR="00B522D4">
              <w:rPr>
                <w:iCs/>
                <w:sz w:val="24"/>
              </w:rPr>
              <w:t>individual requesting</w:t>
            </w:r>
            <w:r>
              <w:rPr>
                <w:iCs/>
                <w:sz w:val="24"/>
              </w:rPr>
              <w:t xml:space="preserve"> the visit should be sought before the visit takes place.  </w:t>
            </w:r>
            <w:r w:rsidR="00B522D4">
              <w:rPr>
                <w:iCs/>
                <w:sz w:val="24"/>
              </w:rPr>
              <w:t xml:space="preserve">They should be reminded of this control at the start of the visit. </w:t>
            </w:r>
          </w:p>
        </w:tc>
        <w:tc>
          <w:tcPr>
            <w:tcW w:w="505" w:type="pct"/>
          </w:tcPr>
          <w:p w14:paraId="397C710C" w14:textId="5B504169" w:rsidR="009547A8" w:rsidRPr="006912F1" w:rsidRDefault="004150D6" w:rsidP="00074631">
            <w:pPr>
              <w:rPr>
                <w:iCs/>
                <w:sz w:val="24"/>
              </w:rPr>
            </w:pPr>
            <w:r>
              <w:rPr>
                <w:iCs/>
                <w:sz w:val="24"/>
              </w:rPr>
              <w:t>Minister</w:t>
            </w:r>
          </w:p>
        </w:tc>
        <w:tc>
          <w:tcPr>
            <w:tcW w:w="428" w:type="pct"/>
          </w:tcPr>
          <w:p w14:paraId="7609AB2E" w14:textId="26BF2343" w:rsidR="009547A8" w:rsidRPr="006912F1" w:rsidRDefault="004150D6" w:rsidP="00074631">
            <w:pPr>
              <w:rPr>
                <w:iCs/>
                <w:sz w:val="24"/>
              </w:rPr>
            </w:pPr>
            <w:r>
              <w:rPr>
                <w:iCs/>
                <w:sz w:val="24"/>
              </w:rPr>
              <w:t xml:space="preserve">Before Visit </w:t>
            </w:r>
          </w:p>
        </w:tc>
        <w:tc>
          <w:tcPr>
            <w:tcW w:w="232" w:type="pct"/>
          </w:tcPr>
          <w:p w14:paraId="6BF8EB09" w14:textId="77777777" w:rsidR="009547A8" w:rsidRPr="006912F1" w:rsidRDefault="009547A8" w:rsidP="00074631">
            <w:pPr>
              <w:rPr>
                <w:iCs/>
                <w:sz w:val="24"/>
              </w:rPr>
            </w:pPr>
            <w:r w:rsidRPr="006912F1">
              <w:rPr>
                <w:iCs/>
                <w:sz w:val="24"/>
              </w:rPr>
              <w:t>N/A</w:t>
            </w:r>
          </w:p>
        </w:tc>
      </w:tr>
      <w:tr w:rsidR="004150D6" w14:paraId="29CBA3B3" w14:textId="77777777" w:rsidTr="004150D6">
        <w:tc>
          <w:tcPr>
            <w:tcW w:w="684" w:type="pct"/>
            <w:tcBorders>
              <w:top w:val="nil"/>
            </w:tcBorders>
          </w:tcPr>
          <w:p w14:paraId="6E83EDD8" w14:textId="77777777" w:rsidR="004150D6" w:rsidRPr="00680EAF" w:rsidRDefault="004150D6" w:rsidP="004150D6">
            <w:pPr>
              <w:rPr>
                <w:sz w:val="24"/>
              </w:rPr>
            </w:pPr>
            <w:r w:rsidRPr="00680EAF">
              <w:rPr>
                <w:sz w:val="24"/>
              </w:rPr>
              <w:t>As above</w:t>
            </w:r>
          </w:p>
        </w:tc>
        <w:tc>
          <w:tcPr>
            <w:tcW w:w="1079" w:type="pct"/>
          </w:tcPr>
          <w:p w14:paraId="5648659D" w14:textId="77777777" w:rsidR="004150D6" w:rsidRPr="00680EAF" w:rsidRDefault="004150D6" w:rsidP="004150D6">
            <w:pPr>
              <w:rPr>
                <w:sz w:val="24"/>
              </w:rPr>
            </w:pPr>
            <w:r w:rsidRPr="00680EAF">
              <w:rPr>
                <w:sz w:val="24"/>
              </w:rPr>
              <w:t>As above</w:t>
            </w:r>
          </w:p>
        </w:tc>
        <w:tc>
          <w:tcPr>
            <w:tcW w:w="906" w:type="pct"/>
          </w:tcPr>
          <w:p w14:paraId="326F127A" w14:textId="77777777" w:rsidR="004150D6" w:rsidRDefault="004150D6" w:rsidP="004150D6">
            <w:pPr>
              <w:rPr>
                <w:b/>
                <w:bCs/>
                <w:sz w:val="24"/>
              </w:rPr>
            </w:pPr>
            <w:r>
              <w:rPr>
                <w:b/>
                <w:bCs/>
                <w:sz w:val="24"/>
              </w:rPr>
              <w:t>Social Distancing</w:t>
            </w:r>
          </w:p>
          <w:p w14:paraId="178F44E0" w14:textId="06B77DDE" w:rsidR="004150D6" w:rsidRPr="00FD3A95" w:rsidRDefault="004150D6" w:rsidP="00FD3A95">
            <w:pPr>
              <w:rPr>
                <w:sz w:val="24"/>
              </w:rPr>
            </w:pPr>
            <w:r w:rsidRPr="00FD3A95">
              <w:rPr>
                <w:sz w:val="24"/>
              </w:rPr>
              <w:t xml:space="preserve">All </w:t>
            </w:r>
            <w:proofErr w:type="gramStart"/>
            <w:r w:rsidRPr="00FD3A95">
              <w:rPr>
                <w:sz w:val="24"/>
              </w:rPr>
              <w:t>present</w:t>
            </w:r>
            <w:proofErr w:type="gramEnd"/>
            <w:r w:rsidRPr="00FD3A95">
              <w:rPr>
                <w:sz w:val="24"/>
              </w:rPr>
              <w:t xml:space="preserve"> will always be asked to maintain </w:t>
            </w:r>
            <w:r w:rsidRPr="00FD3A95">
              <w:rPr>
                <w:sz w:val="24"/>
              </w:rPr>
              <w:lastRenderedPageBreak/>
              <w:t>a safe distance of at least 2 metres between household</w:t>
            </w:r>
            <w:r w:rsidR="00FD3A95">
              <w:rPr>
                <w:sz w:val="24"/>
              </w:rPr>
              <w:t xml:space="preserve"> groups</w:t>
            </w:r>
            <w:r w:rsidRPr="00FD3A95">
              <w:rPr>
                <w:sz w:val="24"/>
              </w:rPr>
              <w:t>.</w:t>
            </w:r>
          </w:p>
        </w:tc>
        <w:tc>
          <w:tcPr>
            <w:tcW w:w="1165" w:type="pct"/>
          </w:tcPr>
          <w:p w14:paraId="5A54960E" w14:textId="0BC660BD" w:rsidR="004150D6" w:rsidRPr="00680EAF" w:rsidRDefault="00B522D4" w:rsidP="004150D6">
            <w:pPr>
              <w:rPr>
                <w:sz w:val="24"/>
              </w:rPr>
            </w:pPr>
            <w:r>
              <w:rPr>
                <w:iCs/>
                <w:sz w:val="24"/>
              </w:rPr>
              <w:lastRenderedPageBreak/>
              <w:t xml:space="preserve">The Cooperation of the individual requesting the visit should be sought before the </w:t>
            </w:r>
            <w:r>
              <w:rPr>
                <w:iCs/>
                <w:sz w:val="24"/>
              </w:rPr>
              <w:lastRenderedPageBreak/>
              <w:t xml:space="preserve">visit takes place.  They should be reminded of this control at the start of the visit. </w:t>
            </w:r>
          </w:p>
        </w:tc>
        <w:tc>
          <w:tcPr>
            <w:tcW w:w="505" w:type="pct"/>
          </w:tcPr>
          <w:p w14:paraId="7A0D80F5" w14:textId="22943C63" w:rsidR="004150D6" w:rsidRPr="00680EAF" w:rsidRDefault="004150D6" w:rsidP="004150D6">
            <w:pPr>
              <w:rPr>
                <w:sz w:val="24"/>
              </w:rPr>
            </w:pPr>
            <w:r>
              <w:rPr>
                <w:iCs/>
                <w:sz w:val="24"/>
              </w:rPr>
              <w:lastRenderedPageBreak/>
              <w:t>Minister</w:t>
            </w:r>
          </w:p>
        </w:tc>
        <w:tc>
          <w:tcPr>
            <w:tcW w:w="428" w:type="pct"/>
          </w:tcPr>
          <w:p w14:paraId="73192A17" w14:textId="20F1614C" w:rsidR="004150D6" w:rsidRPr="00680EAF" w:rsidRDefault="004150D6" w:rsidP="004150D6">
            <w:pPr>
              <w:rPr>
                <w:sz w:val="24"/>
              </w:rPr>
            </w:pPr>
            <w:r>
              <w:rPr>
                <w:iCs/>
                <w:sz w:val="24"/>
              </w:rPr>
              <w:t xml:space="preserve">Before Visit </w:t>
            </w:r>
          </w:p>
        </w:tc>
        <w:tc>
          <w:tcPr>
            <w:tcW w:w="232" w:type="pct"/>
          </w:tcPr>
          <w:p w14:paraId="2770B48F" w14:textId="77777777" w:rsidR="004150D6" w:rsidRDefault="004150D6" w:rsidP="004150D6"/>
        </w:tc>
      </w:tr>
      <w:tr w:rsidR="004150D6" w14:paraId="2ADF8830" w14:textId="77777777" w:rsidTr="004150D6">
        <w:tc>
          <w:tcPr>
            <w:tcW w:w="684" w:type="pct"/>
          </w:tcPr>
          <w:p w14:paraId="58B46197" w14:textId="77777777" w:rsidR="004150D6" w:rsidRDefault="004150D6" w:rsidP="004150D6">
            <w:r w:rsidRPr="00680EAF">
              <w:rPr>
                <w:sz w:val="24"/>
              </w:rPr>
              <w:t>As above</w:t>
            </w:r>
          </w:p>
          <w:p w14:paraId="1B10BF7D" w14:textId="77777777" w:rsidR="004150D6" w:rsidRDefault="004150D6" w:rsidP="004150D6"/>
          <w:p w14:paraId="6C8EEBE2" w14:textId="77777777" w:rsidR="004150D6" w:rsidRDefault="004150D6" w:rsidP="004150D6"/>
        </w:tc>
        <w:tc>
          <w:tcPr>
            <w:tcW w:w="1079" w:type="pct"/>
          </w:tcPr>
          <w:p w14:paraId="41FC3643" w14:textId="77777777" w:rsidR="004150D6" w:rsidRDefault="004150D6" w:rsidP="004150D6">
            <w:r w:rsidRPr="00680EAF">
              <w:rPr>
                <w:sz w:val="24"/>
              </w:rPr>
              <w:t>As above</w:t>
            </w:r>
          </w:p>
        </w:tc>
        <w:tc>
          <w:tcPr>
            <w:tcW w:w="906" w:type="pct"/>
          </w:tcPr>
          <w:p w14:paraId="03BA773E" w14:textId="77777777" w:rsidR="004150D6" w:rsidRDefault="004150D6" w:rsidP="004150D6">
            <w:pPr>
              <w:rPr>
                <w:b/>
                <w:bCs/>
                <w:sz w:val="24"/>
              </w:rPr>
            </w:pPr>
            <w:r>
              <w:rPr>
                <w:b/>
                <w:bCs/>
                <w:sz w:val="24"/>
              </w:rPr>
              <w:t>Hand sanitation</w:t>
            </w:r>
          </w:p>
          <w:p w14:paraId="237D4344" w14:textId="44CBC554" w:rsidR="004150D6" w:rsidRPr="00E9183E" w:rsidRDefault="004150D6" w:rsidP="004150D6">
            <w:pPr>
              <w:rPr>
                <w:sz w:val="24"/>
              </w:rPr>
            </w:pPr>
            <w:r>
              <w:rPr>
                <w:sz w:val="24"/>
              </w:rPr>
              <w:t xml:space="preserve">The Minister’s hands should be sanitised on entry and exit. Hand Sanitiser should be brought by the Minister to the residence being visited. </w:t>
            </w:r>
          </w:p>
        </w:tc>
        <w:tc>
          <w:tcPr>
            <w:tcW w:w="1165" w:type="pct"/>
          </w:tcPr>
          <w:p w14:paraId="178A54F5" w14:textId="77777777" w:rsidR="004150D6" w:rsidRPr="00E9183E" w:rsidRDefault="004150D6" w:rsidP="004150D6">
            <w:pPr>
              <w:rPr>
                <w:sz w:val="24"/>
              </w:rPr>
            </w:pPr>
            <w:r w:rsidRPr="00E9183E">
              <w:rPr>
                <w:sz w:val="24"/>
              </w:rPr>
              <w:t>No</w:t>
            </w:r>
          </w:p>
        </w:tc>
        <w:tc>
          <w:tcPr>
            <w:tcW w:w="505" w:type="pct"/>
          </w:tcPr>
          <w:p w14:paraId="30E9F8E5" w14:textId="608FE4BF" w:rsidR="004150D6" w:rsidRPr="00E9183E" w:rsidRDefault="004150D6" w:rsidP="004150D6">
            <w:pPr>
              <w:rPr>
                <w:sz w:val="24"/>
              </w:rPr>
            </w:pPr>
            <w:r>
              <w:rPr>
                <w:iCs/>
                <w:sz w:val="24"/>
              </w:rPr>
              <w:t>Minister</w:t>
            </w:r>
          </w:p>
        </w:tc>
        <w:tc>
          <w:tcPr>
            <w:tcW w:w="428" w:type="pct"/>
          </w:tcPr>
          <w:p w14:paraId="1AFE4462" w14:textId="1A4BA793" w:rsidR="004150D6" w:rsidRPr="00E9183E" w:rsidRDefault="004150D6" w:rsidP="004150D6">
            <w:pPr>
              <w:rPr>
                <w:sz w:val="24"/>
              </w:rPr>
            </w:pPr>
            <w:r>
              <w:rPr>
                <w:sz w:val="24"/>
              </w:rPr>
              <w:t>During Visit.</w:t>
            </w:r>
          </w:p>
        </w:tc>
        <w:tc>
          <w:tcPr>
            <w:tcW w:w="232" w:type="pct"/>
          </w:tcPr>
          <w:p w14:paraId="27921941" w14:textId="77777777" w:rsidR="004150D6" w:rsidRDefault="004150D6" w:rsidP="004150D6"/>
        </w:tc>
      </w:tr>
      <w:tr w:rsidR="004150D6" w14:paraId="5E955E8F" w14:textId="77777777" w:rsidTr="004150D6">
        <w:tc>
          <w:tcPr>
            <w:tcW w:w="684" w:type="pct"/>
          </w:tcPr>
          <w:p w14:paraId="5C786E68" w14:textId="77777777" w:rsidR="004150D6" w:rsidRDefault="004150D6" w:rsidP="004150D6">
            <w:r w:rsidRPr="00680EAF">
              <w:rPr>
                <w:sz w:val="24"/>
              </w:rPr>
              <w:t>As above</w:t>
            </w:r>
          </w:p>
          <w:p w14:paraId="133064E0" w14:textId="77777777" w:rsidR="004150D6" w:rsidRDefault="004150D6" w:rsidP="004150D6"/>
          <w:p w14:paraId="429A97BA" w14:textId="77777777" w:rsidR="004150D6" w:rsidRDefault="004150D6" w:rsidP="004150D6"/>
        </w:tc>
        <w:tc>
          <w:tcPr>
            <w:tcW w:w="1079" w:type="pct"/>
          </w:tcPr>
          <w:p w14:paraId="3FBB96CF" w14:textId="77777777" w:rsidR="004150D6" w:rsidRDefault="004150D6" w:rsidP="004150D6">
            <w:r w:rsidRPr="00680EAF">
              <w:rPr>
                <w:sz w:val="24"/>
              </w:rPr>
              <w:t>As above</w:t>
            </w:r>
          </w:p>
        </w:tc>
        <w:tc>
          <w:tcPr>
            <w:tcW w:w="906" w:type="pct"/>
          </w:tcPr>
          <w:p w14:paraId="1A954DAE" w14:textId="77777777" w:rsidR="004150D6" w:rsidRDefault="004150D6" w:rsidP="004150D6">
            <w:pPr>
              <w:rPr>
                <w:b/>
                <w:bCs/>
                <w:sz w:val="24"/>
              </w:rPr>
            </w:pPr>
            <w:r>
              <w:rPr>
                <w:b/>
                <w:bCs/>
                <w:sz w:val="24"/>
              </w:rPr>
              <w:t>Ventilation</w:t>
            </w:r>
          </w:p>
          <w:p w14:paraId="6CD1D4D0" w14:textId="6A6CD2BA" w:rsidR="004150D6" w:rsidRPr="00E9183E" w:rsidRDefault="004150D6" w:rsidP="004150D6">
            <w:pPr>
              <w:rPr>
                <w:sz w:val="24"/>
              </w:rPr>
            </w:pPr>
            <w:r>
              <w:rPr>
                <w:sz w:val="24"/>
              </w:rPr>
              <w:t xml:space="preserve">Good ventilation is a key mitigation. </w:t>
            </w:r>
            <w:r w:rsidR="00FD3A95">
              <w:rPr>
                <w:sz w:val="24"/>
              </w:rPr>
              <w:t xml:space="preserve">If at all possible, windows shall be opened in the room where visit takes place. </w:t>
            </w:r>
          </w:p>
        </w:tc>
        <w:tc>
          <w:tcPr>
            <w:tcW w:w="1165" w:type="pct"/>
          </w:tcPr>
          <w:p w14:paraId="48DE3024" w14:textId="5479EED4" w:rsidR="004150D6" w:rsidRPr="006A27EB" w:rsidRDefault="00B522D4" w:rsidP="004150D6">
            <w:pPr>
              <w:rPr>
                <w:sz w:val="24"/>
              </w:rPr>
            </w:pPr>
            <w:r>
              <w:rPr>
                <w:iCs/>
                <w:sz w:val="24"/>
              </w:rPr>
              <w:t xml:space="preserve">The Cooperation of the individual requesting the visit should be sought before the visit takes place.  They should be reminded of this control at the start of the visit. </w:t>
            </w:r>
          </w:p>
        </w:tc>
        <w:tc>
          <w:tcPr>
            <w:tcW w:w="505" w:type="pct"/>
          </w:tcPr>
          <w:p w14:paraId="0EE9A33B" w14:textId="11179BF8" w:rsidR="004150D6" w:rsidRDefault="00FD3A95" w:rsidP="004150D6">
            <w:r>
              <w:rPr>
                <w:iCs/>
                <w:sz w:val="24"/>
              </w:rPr>
              <w:t>Minister</w:t>
            </w:r>
          </w:p>
        </w:tc>
        <w:tc>
          <w:tcPr>
            <w:tcW w:w="428" w:type="pct"/>
          </w:tcPr>
          <w:p w14:paraId="3427D338" w14:textId="120B4CDC" w:rsidR="004150D6" w:rsidRDefault="00FD3A95" w:rsidP="004150D6">
            <w:r>
              <w:rPr>
                <w:sz w:val="24"/>
              </w:rPr>
              <w:t>Before Visit.</w:t>
            </w:r>
          </w:p>
        </w:tc>
        <w:tc>
          <w:tcPr>
            <w:tcW w:w="232" w:type="pct"/>
          </w:tcPr>
          <w:p w14:paraId="76DEDB70" w14:textId="77777777" w:rsidR="004150D6" w:rsidRDefault="004150D6" w:rsidP="004150D6"/>
        </w:tc>
      </w:tr>
      <w:tr w:rsidR="004150D6" w14:paraId="55E2BD5D" w14:textId="77777777" w:rsidTr="004150D6">
        <w:tc>
          <w:tcPr>
            <w:tcW w:w="684" w:type="pct"/>
          </w:tcPr>
          <w:p w14:paraId="23596BFE" w14:textId="77777777" w:rsidR="004150D6" w:rsidRDefault="004150D6" w:rsidP="004150D6">
            <w:r w:rsidRPr="00680EAF">
              <w:rPr>
                <w:sz w:val="24"/>
              </w:rPr>
              <w:t>As above</w:t>
            </w:r>
          </w:p>
          <w:p w14:paraId="3890B329" w14:textId="77777777" w:rsidR="004150D6" w:rsidRDefault="004150D6" w:rsidP="004150D6"/>
          <w:p w14:paraId="2235F51A" w14:textId="77777777" w:rsidR="004150D6" w:rsidRDefault="004150D6" w:rsidP="004150D6"/>
        </w:tc>
        <w:tc>
          <w:tcPr>
            <w:tcW w:w="1079" w:type="pct"/>
          </w:tcPr>
          <w:p w14:paraId="0B08ABAF" w14:textId="77777777" w:rsidR="004150D6" w:rsidRDefault="004150D6" w:rsidP="004150D6">
            <w:r w:rsidRPr="00680EAF">
              <w:rPr>
                <w:sz w:val="24"/>
              </w:rPr>
              <w:t>As above</w:t>
            </w:r>
          </w:p>
        </w:tc>
        <w:tc>
          <w:tcPr>
            <w:tcW w:w="906" w:type="pct"/>
          </w:tcPr>
          <w:p w14:paraId="66AF05C1" w14:textId="77777777" w:rsidR="004150D6" w:rsidRDefault="004150D6" w:rsidP="004150D6">
            <w:pPr>
              <w:rPr>
                <w:b/>
                <w:bCs/>
                <w:sz w:val="24"/>
              </w:rPr>
            </w:pPr>
            <w:r>
              <w:rPr>
                <w:b/>
                <w:bCs/>
                <w:sz w:val="24"/>
              </w:rPr>
              <w:t>Face coverings</w:t>
            </w:r>
          </w:p>
          <w:p w14:paraId="637CAB42" w14:textId="77777777" w:rsidR="004150D6" w:rsidRPr="006A27EB" w:rsidRDefault="004150D6" w:rsidP="004150D6">
            <w:pPr>
              <w:rPr>
                <w:sz w:val="24"/>
              </w:rPr>
            </w:pPr>
            <w:r>
              <w:rPr>
                <w:sz w:val="24"/>
              </w:rPr>
              <w:t>It is mandatory to wear face coverings subject to medical exemptions.</w:t>
            </w:r>
          </w:p>
        </w:tc>
        <w:tc>
          <w:tcPr>
            <w:tcW w:w="1165" w:type="pct"/>
          </w:tcPr>
          <w:p w14:paraId="766FB550" w14:textId="64CC0F62" w:rsidR="004150D6" w:rsidRPr="006A27EB" w:rsidRDefault="00B522D4" w:rsidP="004150D6">
            <w:pPr>
              <w:rPr>
                <w:sz w:val="24"/>
              </w:rPr>
            </w:pPr>
            <w:r>
              <w:rPr>
                <w:iCs/>
                <w:sz w:val="24"/>
              </w:rPr>
              <w:t xml:space="preserve">The Cooperation of the individual requesting the visit should be sought before the visit takes place.  They should be reminded of this control at the start of the visit. </w:t>
            </w:r>
          </w:p>
        </w:tc>
        <w:tc>
          <w:tcPr>
            <w:tcW w:w="505" w:type="pct"/>
          </w:tcPr>
          <w:p w14:paraId="368BB4E6" w14:textId="45FCA0C6" w:rsidR="004150D6" w:rsidRDefault="00FD3A95" w:rsidP="004150D6">
            <w:r>
              <w:rPr>
                <w:iCs/>
                <w:sz w:val="24"/>
              </w:rPr>
              <w:t>Minister</w:t>
            </w:r>
          </w:p>
        </w:tc>
        <w:tc>
          <w:tcPr>
            <w:tcW w:w="428" w:type="pct"/>
          </w:tcPr>
          <w:p w14:paraId="28A7B8B1" w14:textId="6566510E" w:rsidR="004150D6" w:rsidRDefault="00FD3A95" w:rsidP="004150D6">
            <w:r>
              <w:rPr>
                <w:sz w:val="24"/>
              </w:rPr>
              <w:t>Before Visit.</w:t>
            </w:r>
          </w:p>
        </w:tc>
        <w:tc>
          <w:tcPr>
            <w:tcW w:w="232" w:type="pct"/>
          </w:tcPr>
          <w:p w14:paraId="45652FAC" w14:textId="77777777" w:rsidR="004150D6" w:rsidRDefault="004150D6" w:rsidP="004150D6"/>
        </w:tc>
      </w:tr>
      <w:tr w:rsidR="004150D6" w14:paraId="78C2424B" w14:textId="77777777" w:rsidTr="004150D6">
        <w:tc>
          <w:tcPr>
            <w:tcW w:w="684" w:type="pct"/>
          </w:tcPr>
          <w:p w14:paraId="6964CDF1" w14:textId="77777777" w:rsidR="004150D6" w:rsidRDefault="004150D6" w:rsidP="004150D6">
            <w:r w:rsidRPr="00680EAF">
              <w:rPr>
                <w:sz w:val="24"/>
              </w:rPr>
              <w:t>As above</w:t>
            </w:r>
          </w:p>
          <w:p w14:paraId="5B3D7B67" w14:textId="77777777" w:rsidR="004150D6" w:rsidRDefault="004150D6" w:rsidP="004150D6"/>
        </w:tc>
        <w:tc>
          <w:tcPr>
            <w:tcW w:w="1079" w:type="pct"/>
          </w:tcPr>
          <w:p w14:paraId="60B40AFD" w14:textId="77777777" w:rsidR="004150D6" w:rsidRDefault="004150D6" w:rsidP="004150D6">
            <w:r w:rsidRPr="00680EAF">
              <w:rPr>
                <w:sz w:val="24"/>
              </w:rPr>
              <w:t>As above</w:t>
            </w:r>
          </w:p>
        </w:tc>
        <w:tc>
          <w:tcPr>
            <w:tcW w:w="906" w:type="pct"/>
          </w:tcPr>
          <w:p w14:paraId="76166D50" w14:textId="77777777" w:rsidR="004150D6" w:rsidRDefault="004150D6" w:rsidP="004150D6">
            <w:pPr>
              <w:rPr>
                <w:b/>
                <w:bCs/>
                <w:sz w:val="24"/>
              </w:rPr>
            </w:pPr>
            <w:r>
              <w:rPr>
                <w:b/>
                <w:bCs/>
                <w:sz w:val="24"/>
              </w:rPr>
              <w:t>Worship material</w:t>
            </w:r>
          </w:p>
          <w:p w14:paraId="4B7676C0" w14:textId="77777777" w:rsidR="004150D6" w:rsidRDefault="004150D6" w:rsidP="004150D6">
            <w:pPr>
              <w:rPr>
                <w:sz w:val="24"/>
              </w:rPr>
            </w:pPr>
            <w:r>
              <w:rPr>
                <w:sz w:val="24"/>
              </w:rPr>
              <w:t>The use of bibles should be avoided.</w:t>
            </w:r>
          </w:p>
          <w:p w14:paraId="556C9B5C" w14:textId="6639F52C" w:rsidR="00FD3A95" w:rsidRPr="00A22001" w:rsidRDefault="00FD3A95" w:rsidP="004150D6">
            <w:pPr>
              <w:rPr>
                <w:sz w:val="24"/>
              </w:rPr>
            </w:pPr>
            <w:r>
              <w:rPr>
                <w:sz w:val="24"/>
              </w:rPr>
              <w:lastRenderedPageBreak/>
              <w:t xml:space="preserve">Single use Service sheets to be used. </w:t>
            </w:r>
          </w:p>
        </w:tc>
        <w:tc>
          <w:tcPr>
            <w:tcW w:w="1165" w:type="pct"/>
          </w:tcPr>
          <w:p w14:paraId="4E79BCB3" w14:textId="619D06F9" w:rsidR="004150D6" w:rsidRPr="00A22001" w:rsidRDefault="00FD3A95" w:rsidP="004150D6">
            <w:pPr>
              <w:rPr>
                <w:sz w:val="24"/>
              </w:rPr>
            </w:pPr>
            <w:r>
              <w:rPr>
                <w:sz w:val="24"/>
              </w:rPr>
              <w:lastRenderedPageBreak/>
              <w:t xml:space="preserve">Electronic copies of single use service sheets available from Vicar. </w:t>
            </w:r>
          </w:p>
        </w:tc>
        <w:tc>
          <w:tcPr>
            <w:tcW w:w="505" w:type="pct"/>
          </w:tcPr>
          <w:p w14:paraId="2F49029C" w14:textId="4602BA92" w:rsidR="004150D6" w:rsidRPr="00A22001" w:rsidRDefault="00FD3A95" w:rsidP="004150D6">
            <w:pPr>
              <w:rPr>
                <w:sz w:val="24"/>
              </w:rPr>
            </w:pPr>
            <w:r>
              <w:rPr>
                <w:sz w:val="24"/>
              </w:rPr>
              <w:t>Minister / Vicar</w:t>
            </w:r>
          </w:p>
        </w:tc>
        <w:tc>
          <w:tcPr>
            <w:tcW w:w="428" w:type="pct"/>
          </w:tcPr>
          <w:p w14:paraId="1EF5DD83" w14:textId="77777777" w:rsidR="004150D6" w:rsidRPr="00A22001" w:rsidRDefault="004150D6" w:rsidP="004150D6">
            <w:pPr>
              <w:rPr>
                <w:sz w:val="24"/>
              </w:rPr>
            </w:pPr>
            <w:r>
              <w:rPr>
                <w:sz w:val="24"/>
              </w:rPr>
              <w:t>At service.</w:t>
            </w:r>
          </w:p>
        </w:tc>
        <w:tc>
          <w:tcPr>
            <w:tcW w:w="232" w:type="pct"/>
          </w:tcPr>
          <w:p w14:paraId="593F9EF7" w14:textId="77777777" w:rsidR="004150D6" w:rsidRDefault="004150D6" w:rsidP="004150D6"/>
        </w:tc>
      </w:tr>
      <w:tr w:rsidR="004150D6" w14:paraId="4518946A" w14:textId="77777777" w:rsidTr="004150D6">
        <w:tc>
          <w:tcPr>
            <w:tcW w:w="684" w:type="pct"/>
          </w:tcPr>
          <w:p w14:paraId="4F762BE9" w14:textId="77777777" w:rsidR="004150D6" w:rsidRDefault="004150D6" w:rsidP="004150D6">
            <w:r w:rsidRPr="00680EAF">
              <w:rPr>
                <w:sz w:val="24"/>
              </w:rPr>
              <w:t>As above</w:t>
            </w:r>
          </w:p>
          <w:p w14:paraId="037F5C72" w14:textId="77777777" w:rsidR="004150D6" w:rsidRDefault="004150D6" w:rsidP="004150D6"/>
        </w:tc>
        <w:tc>
          <w:tcPr>
            <w:tcW w:w="1079" w:type="pct"/>
          </w:tcPr>
          <w:p w14:paraId="480A29E0" w14:textId="77777777" w:rsidR="004150D6" w:rsidRDefault="004150D6" w:rsidP="004150D6">
            <w:r w:rsidRPr="00680EAF">
              <w:rPr>
                <w:sz w:val="24"/>
              </w:rPr>
              <w:t>As above</w:t>
            </w:r>
          </w:p>
        </w:tc>
        <w:tc>
          <w:tcPr>
            <w:tcW w:w="906" w:type="pct"/>
          </w:tcPr>
          <w:p w14:paraId="48F55383" w14:textId="77777777" w:rsidR="004150D6" w:rsidRDefault="004150D6" w:rsidP="004150D6">
            <w:pPr>
              <w:rPr>
                <w:b/>
                <w:bCs/>
                <w:sz w:val="24"/>
              </w:rPr>
            </w:pPr>
            <w:r>
              <w:rPr>
                <w:b/>
                <w:bCs/>
                <w:sz w:val="24"/>
              </w:rPr>
              <w:t>Toileting</w:t>
            </w:r>
          </w:p>
          <w:p w14:paraId="069199F7" w14:textId="7AE2004C" w:rsidR="004150D6" w:rsidRPr="006A26CF" w:rsidRDefault="00FD3A95" w:rsidP="004150D6">
            <w:pPr>
              <w:rPr>
                <w:sz w:val="24"/>
              </w:rPr>
            </w:pPr>
            <w:r>
              <w:rPr>
                <w:sz w:val="24"/>
              </w:rPr>
              <w:t xml:space="preserve">Toilet in private residence not to be used if at all possible. </w:t>
            </w:r>
          </w:p>
        </w:tc>
        <w:tc>
          <w:tcPr>
            <w:tcW w:w="1165" w:type="pct"/>
          </w:tcPr>
          <w:p w14:paraId="1ACC5640" w14:textId="586F4E38" w:rsidR="004150D6" w:rsidRPr="006A26CF" w:rsidRDefault="00FD3A95" w:rsidP="004150D6">
            <w:pPr>
              <w:rPr>
                <w:sz w:val="24"/>
              </w:rPr>
            </w:pPr>
            <w:r>
              <w:rPr>
                <w:sz w:val="24"/>
              </w:rPr>
              <w:t xml:space="preserve">No. </w:t>
            </w:r>
          </w:p>
        </w:tc>
        <w:tc>
          <w:tcPr>
            <w:tcW w:w="505" w:type="pct"/>
          </w:tcPr>
          <w:p w14:paraId="2C158D99" w14:textId="36CAF61E" w:rsidR="004150D6" w:rsidRDefault="00FD3A95" w:rsidP="004150D6">
            <w:r>
              <w:rPr>
                <w:sz w:val="24"/>
              </w:rPr>
              <w:t>Minister</w:t>
            </w:r>
          </w:p>
        </w:tc>
        <w:tc>
          <w:tcPr>
            <w:tcW w:w="428" w:type="pct"/>
          </w:tcPr>
          <w:p w14:paraId="51E5F0D6" w14:textId="22DD7223" w:rsidR="004150D6" w:rsidRDefault="00FD3A95" w:rsidP="004150D6">
            <w:r>
              <w:rPr>
                <w:sz w:val="24"/>
              </w:rPr>
              <w:t>During Visit.</w:t>
            </w:r>
          </w:p>
        </w:tc>
        <w:tc>
          <w:tcPr>
            <w:tcW w:w="232" w:type="pct"/>
          </w:tcPr>
          <w:p w14:paraId="7D551BCD" w14:textId="77777777" w:rsidR="004150D6" w:rsidRDefault="004150D6" w:rsidP="004150D6"/>
        </w:tc>
      </w:tr>
      <w:tr w:rsidR="004150D6" w14:paraId="37303B61" w14:textId="77777777" w:rsidTr="004150D6">
        <w:tc>
          <w:tcPr>
            <w:tcW w:w="684" w:type="pct"/>
          </w:tcPr>
          <w:p w14:paraId="3C5DD049" w14:textId="77777777" w:rsidR="004150D6" w:rsidRDefault="004150D6" w:rsidP="004150D6">
            <w:r w:rsidRPr="00680EAF">
              <w:rPr>
                <w:sz w:val="24"/>
              </w:rPr>
              <w:t>As above</w:t>
            </w:r>
          </w:p>
          <w:p w14:paraId="760C4BD2" w14:textId="77777777" w:rsidR="004150D6" w:rsidRDefault="004150D6" w:rsidP="004150D6"/>
          <w:p w14:paraId="50C5A62F" w14:textId="77777777" w:rsidR="004150D6" w:rsidRDefault="004150D6" w:rsidP="004150D6"/>
        </w:tc>
        <w:tc>
          <w:tcPr>
            <w:tcW w:w="1079" w:type="pct"/>
          </w:tcPr>
          <w:p w14:paraId="49852C52" w14:textId="77777777" w:rsidR="004150D6" w:rsidRDefault="004150D6" w:rsidP="004150D6">
            <w:r w:rsidRPr="00680EAF">
              <w:rPr>
                <w:sz w:val="24"/>
              </w:rPr>
              <w:t>As above</w:t>
            </w:r>
          </w:p>
        </w:tc>
        <w:tc>
          <w:tcPr>
            <w:tcW w:w="906" w:type="pct"/>
          </w:tcPr>
          <w:p w14:paraId="15021810" w14:textId="09A054E9" w:rsidR="004150D6" w:rsidRDefault="00FD3A95" w:rsidP="004150D6">
            <w:pPr>
              <w:rPr>
                <w:b/>
                <w:bCs/>
                <w:sz w:val="24"/>
              </w:rPr>
            </w:pPr>
            <w:r>
              <w:rPr>
                <w:b/>
                <w:bCs/>
                <w:sz w:val="24"/>
              </w:rPr>
              <w:t>Holy Communion</w:t>
            </w:r>
          </w:p>
          <w:p w14:paraId="50D63F58" w14:textId="05E0366D" w:rsidR="00FD3A95" w:rsidRDefault="00FD3A95" w:rsidP="004150D6">
            <w:pPr>
              <w:rPr>
                <w:sz w:val="24"/>
              </w:rPr>
            </w:pPr>
            <w:r>
              <w:rPr>
                <w:sz w:val="24"/>
              </w:rPr>
              <w:t xml:space="preserve">The correct number of breads to be placed (with sanitised hands) in a pyx before visit. </w:t>
            </w:r>
          </w:p>
          <w:p w14:paraId="333E133E" w14:textId="6F750B82" w:rsidR="00FD3A95" w:rsidRDefault="00FD3A95" w:rsidP="004150D6">
            <w:pPr>
              <w:rPr>
                <w:sz w:val="24"/>
              </w:rPr>
            </w:pPr>
          </w:p>
          <w:p w14:paraId="78478032" w14:textId="2431D60E" w:rsidR="00FD3A95" w:rsidRDefault="00FD3A95" w:rsidP="004150D6">
            <w:pPr>
              <w:rPr>
                <w:sz w:val="24"/>
              </w:rPr>
            </w:pPr>
            <w:r>
              <w:rPr>
                <w:sz w:val="24"/>
              </w:rPr>
              <w:t xml:space="preserve">Communion to be offered in one kind only (Bread). </w:t>
            </w:r>
          </w:p>
          <w:p w14:paraId="2C0B5638" w14:textId="49F77E5B" w:rsidR="00FD3A95" w:rsidRDefault="00FD3A95" w:rsidP="004150D6">
            <w:pPr>
              <w:rPr>
                <w:sz w:val="24"/>
              </w:rPr>
            </w:pPr>
          </w:p>
          <w:p w14:paraId="36B744FF" w14:textId="6DEF8ED8" w:rsidR="00FD3A95" w:rsidRDefault="00FD3A95" w:rsidP="004150D6">
            <w:pPr>
              <w:rPr>
                <w:sz w:val="24"/>
              </w:rPr>
            </w:pPr>
            <w:r>
              <w:rPr>
                <w:sz w:val="24"/>
              </w:rPr>
              <w:t xml:space="preserve">Communion set with patten to be used. </w:t>
            </w:r>
          </w:p>
          <w:p w14:paraId="1A47F007" w14:textId="54D00440" w:rsidR="00FD3A95" w:rsidRDefault="00FD3A95" w:rsidP="004150D6">
            <w:pPr>
              <w:rPr>
                <w:sz w:val="24"/>
              </w:rPr>
            </w:pPr>
          </w:p>
          <w:p w14:paraId="4B3FDE92" w14:textId="2453D9B3" w:rsidR="00FD3A95" w:rsidRDefault="00FD3A95" w:rsidP="004150D6">
            <w:pPr>
              <w:rPr>
                <w:sz w:val="24"/>
              </w:rPr>
            </w:pPr>
            <w:r>
              <w:rPr>
                <w:sz w:val="24"/>
              </w:rPr>
              <w:t xml:space="preserve">Patten and pyx to be washed thoroughly after use. </w:t>
            </w:r>
          </w:p>
          <w:p w14:paraId="3FD365C5" w14:textId="2BF403D2" w:rsidR="00DD569A" w:rsidRDefault="00DD569A" w:rsidP="004150D6">
            <w:pPr>
              <w:rPr>
                <w:sz w:val="24"/>
              </w:rPr>
            </w:pPr>
          </w:p>
          <w:p w14:paraId="4B434D2E" w14:textId="5D273C84" w:rsidR="00DD569A" w:rsidRDefault="00DD569A" w:rsidP="004150D6">
            <w:pPr>
              <w:rPr>
                <w:sz w:val="24"/>
              </w:rPr>
            </w:pPr>
            <w:r>
              <w:rPr>
                <w:sz w:val="24"/>
              </w:rPr>
              <w:t xml:space="preserve">Home Communion Carrying Case to be sanitised after use. </w:t>
            </w:r>
          </w:p>
          <w:p w14:paraId="5CC8A2BC" w14:textId="77777777" w:rsidR="00FD3A95" w:rsidRPr="00A77A84" w:rsidRDefault="00FD3A95" w:rsidP="004150D6">
            <w:pPr>
              <w:rPr>
                <w:sz w:val="24"/>
              </w:rPr>
            </w:pPr>
          </w:p>
          <w:p w14:paraId="22307854" w14:textId="77777777" w:rsidR="004150D6" w:rsidRPr="00A77A84" w:rsidRDefault="004150D6" w:rsidP="004150D6">
            <w:pPr>
              <w:rPr>
                <w:b/>
                <w:bCs/>
                <w:sz w:val="24"/>
              </w:rPr>
            </w:pPr>
          </w:p>
        </w:tc>
        <w:tc>
          <w:tcPr>
            <w:tcW w:w="1165" w:type="pct"/>
          </w:tcPr>
          <w:p w14:paraId="3884FD44" w14:textId="330F5F3B" w:rsidR="004150D6" w:rsidRPr="00A77A84" w:rsidRDefault="00FD3A95" w:rsidP="004150D6">
            <w:pPr>
              <w:rPr>
                <w:sz w:val="24"/>
              </w:rPr>
            </w:pPr>
            <w:r>
              <w:rPr>
                <w:sz w:val="24"/>
              </w:rPr>
              <w:t>No.</w:t>
            </w:r>
            <w:r w:rsidR="004150D6">
              <w:rPr>
                <w:sz w:val="24"/>
              </w:rPr>
              <w:t xml:space="preserve"> </w:t>
            </w:r>
          </w:p>
        </w:tc>
        <w:tc>
          <w:tcPr>
            <w:tcW w:w="505" w:type="pct"/>
          </w:tcPr>
          <w:p w14:paraId="60F4EFDE" w14:textId="37735096" w:rsidR="004150D6" w:rsidRDefault="00FD3A95" w:rsidP="004150D6">
            <w:r>
              <w:rPr>
                <w:sz w:val="24"/>
              </w:rPr>
              <w:t>Minister</w:t>
            </w:r>
          </w:p>
        </w:tc>
        <w:tc>
          <w:tcPr>
            <w:tcW w:w="428" w:type="pct"/>
          </w:tcPr>
          <w:p w14:paraId="2FA31382" w14:textId="28EC05D0" w:rsidR="004150D6" w:rsidRDefault="00FD3A95" w:rsidP="004150D6">
            <w:r>
              <w:rPr>
                <w:sz w:val="24"/>
              </w:rPr>
              <w:t xml:space="preserve">Before, during, and after visit. </w:t>
            </w:r>
          </w:p>
        </w:tc>
        <w:tc>
          <w:tcPr>
            <w:tcW w:w="232" w:type="pct"/>
          </w:tcPr>
          <w:p w14:paraId="1E301F5F" w14:textId="77777777" w:rsidR="004150D6" w:rsidRDefault="004150D6" w:rsidP="004150D6"/>
        </w:tc>
      </w:tr>
    </w:tbl>
    <w:p w14:paraId="6FB2ECD9" w14:textId="77777777" w:rsidR="009547A8" w:rsidRDefault="009547A8"/>
    <w:sectPr w:rsidR="009547A8" w:rsidSect="009547A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F42B11"/>
    <w:multiLevelType w:val="hybridMultilevel"/>
    <w:tmpl w:val="57887D16"/>
    <w:lvl w:ilvl="0" w:tplc="8138DDEC">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C4189E"/>
    <w:multiLevelType w:val="hybridMultilevel"/>
    <w:tmpl w:val="70061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5F5E2E"/>
    <w:multiLevelType w:val="hybridMultilevel"/>
    <w:tmpl w:val="9EF0F2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A8"/>
    <w:rsid w:val="00142F12"/>
    <w:rsid w:val="001F7270"/>
    <w:rsid w:val="00205EBD"/>
    <w:rsid w:val="00236BCA"/>
    <w:rsid w:val="004150D6"/>
    <w:rsid w:val="004A1B71"/>
    <w:rsid w:val="00793904"/>
    <w:rsid w:val="00875CB4"/>
    <w:rsid w:val="008B0EA0"/>
    <w:rsid w:val="009547A8"/>
    <w:rsid w:val="00B522D4"/>
    <w:rsid w:val="00D81D65"/>
    <w:rsid w:val="00DD569A"/>
    <w:rsid w:val="00F2289D"/>
    <w:rsid w:val="00F31B6C"/>
    <w:rsid w:val="00FD3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66AC"/>
  <w15:chartTrackingRefBased/>
  <w15:docId w15:val="{31BED374-459F-4D19-85F8-C82075EA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7A8"/>
    <w:pPr>
      <w:spacing w:after="0" w:line="240" w:lineRule="auto"/>
    </w:pPr>
    <w:rPr>
      <w:rFonts w:ascii="Arial" w:eastAsia="Times New Roman" w:hAnsi="Arial"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47A8"/>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ListParagraph">
    <w:name w:val="List Paragraph"/>
    <w:basedOn w:val="Normal"/>
    <w:uiPriority w:val="34"/>
    <w:qFormat/>
    <w:rsid w:val="009547A8"/>
    <w:pPr>
      <w:ind w:left="720"/>
      <w:contextualSpacing/>
    </w:pPr>
  </w:style>
  <w:style w:type="character" w:styleId="Hyperlink">
    <w:name w:val="Hyperlink"/>
    <w:basedOn w:val="DefaultParagraphFont"/>
    <w:uiPriority w:val="99"/>
    <w:unhideWhenUsed/>
    <w:rsid w:val="009547A8"/>
    <w:rPr>
      <w:color w:val="0563C1" w:themeColor="hyperlink"/>
      <w:u w:val="single"/>
    </w:rPr>
  </w:style>
  <w:style w:type="paragraph" w:styleId="BalloonText">
    <w:name w:val="Balloon Text"/>
    <w:basedOn w:val="Normal"/>
    <w:link w:val="BalloonTextChar"/>
    <w:uiPriority w:val="99"/>
    <w:semiHidden/>
    <w:unhideWhenUsed/>
    <w:rsid w:val="00205EBD"/>
    <w:rPr>
      <w:rFonts w:ascii="Segoe UI" w:hAnsi="Segoe UI" w:cs="Segoe UI"/>
      <w:szCs w:val="18"/>
    </w:rPr>
  </w:style>
  <w:style w:type="character" w:customStyle="1" w:styleId="BalloonTextChar">
    <w:name w:val="Balloon Text Char"/>
    <w:basedOn w:val="DefaultParagraphFont"/>
    <w:link w:val="BalloonText"/>
    <w:uiPriority w:val="99"/>
    <w:semiHidden/>
    <w:rsid w:val="00205EBD"/>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875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46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urchofengland.org/sites/default/files/2021-01/Advice%20on%20pastoral%20support%20in%20the%20community%20including%20care%20homes%20v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working-safely-during-coronavirus-covid-19/home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George</dc:creator>
  <cp:keywords/>
  <dc:description/>
  <cp:lastModifiedBy>Microsoft Office User</cp:lastModifiedBy>
  <cp:revision>6</cp:revision>
  <cp:lastPrinted>2020-10-24T14:28:00Z</cp:lastPrinted>
  <dcterms:created xsi:type="dcterms:W3CDTF">2021-02-15T13:27:00Z</dcterms:created>
  <dcterms:modified xsi:type="dcterms:W3CDTF">2021-02-16T09:15:00Z</dcterms:modified>
</cp:coreProperties>
</file>